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121</w:t>
      </w:r>
    </w:p>
    <w:p>
      <w:r>
        <w:t>Bundesgericht (BGE), 1994-11-29, DE</w:t>
      </w:r>
    </w:p>
    <w:p>
      <w:r>
        <w:rPr>
          <w:b/>
        </w:rPr>
        <w:t xml:space="preserve">Quelle: </w:t>
      </w:r>
      <w:r>
        <w:t>https://mcp.opencaselaw.ch/entscheid/bge_120 III 121</w:t>
      </w:r>
    </w:p>
    <w:p>
      <w:r>
        <w:t>FR: ATF 120 III 121</w:t>
      </w:r>
    </w:p>
    <w:p>
      <w:r>
        <w:t>IT: DTF 120 III 121</w:t>
      </w:r>
    </w:p>
    <w:p>
      <w:pPr>
        <w:pStyle w:val="Heading2"/>
      </w:pPr>
      <w:r>
        <w:t>Regeste</w:t>
      </w:r>
    </w:p>
    <w:p>
      <w:r>
        <w:t>Regeste Unpfändbarkeit einer Leibrente (Art. 92 Ziff. 7 SchKG). Voraussetzung der Unpfändbarkeit ist der Abschluss eines Leibrentenvertrages in schriftlicher Form.</w:t>
      </w:r>
    </w:p>
    <w:p>
      <w:pPr>
        <w:pStyle w:val="Heading2"/>
      </w:pPr>
      <w:r>
        <w:t>Erwägungen</w:t>
      </w:r>
    </w:p>
    <w:p>
      <w:r>
        <w:rPr>
          <w:b/>
        </w:rPr>
        <w:t>E. 2</w:t>
      </w:r>
    </w:p>
    <w:p>
      <w:r>
        <w:t>a) Wie schon vor der kantonalen Aufsichtsbehörde macht der Rekurrent auch vor Bundesgericht geltend, sein Vater habe ihm testamentarisch die Verpflichtung auferlegt, mit dem ihm zufallenden Erbe bei der Coop Lebens-Versicherungsgesellschaft eine sofort beginnende, unpfändbare Leibrentenversicherung mit Einmalprämie ohne Rückgewähr abzuschliessen. Der Erbteil sei deshalb nach Art. 92 Ziff. 7 SchKG und Art. 519 Abs. 2 OR unpfändbar und könne demzufolge auch nicht mit Arrest belegt werden. b) Dieser Auffassung kann nicht zugestimmt werden: Nach Art. 92 Ziff. 7 SchKG sind unpfändbar "die gemäss Art. 519 Abs. 2 des Bundesgesetzes über das Obligationenrecht als unpfändbar bestellten Leibrenten". Bestellt wird eine Leibrente durch den Abschluss eines Leibrentenvertrages zwischen dem Rentengläubiger und einem Dritten einerseits und dem Rentenschuldner anderseits. Der Leibrentenvertrag bedarf zu seiner Gültigkeit der schriftlichen Form ( Art. 517 OR ). Auch vom Rekurrenten wird nicht behauptet, dass ein solcher Leibrentenvertrag in schriftlicher Form vereinbart worden sei. Die testamentarische Zuweisung des Nachlasses an einen Erben mit der Verpflichtung, "eine sofort beginnende Leibrenten-Versicherung zu beantragen", erfüllt die Voraussetzungen, welche an die Bestellung eines Leibrentenvertrages gestellt werden, offensichtlich nicht. Art. 519 Abs. 2 OR sagt nicht - wie in der Rekursschrift behauptet wird -, eine Leibrente gelte als bestellt, "wenn sie rechtsgültig versprochen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